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1DFE" w14:textId="5AC9863D" w:rsidR="00CB6256" w:rsidRDefault="0045124F" w:rsidP="00E80BDB">
      <w:pPr>
        <w:ind w:right="-456"/>
        <w:jc w:val="both"/>
        <w:rPr>
          <w:rFonts w:ascii="Calibri Light" w:hAnsi="Calibri Light"/>
          <w:i/>
        </w:rPr>
      </w:pPr>
      <w:r w:rsidRPr="0061208B">
        <w:rPr>
          <w:rFonts w:ascii="Calibri Light" w:hAnsi="Calibri Light"/>
          <w:i/>
          <w:noProof/>
          <w:lang w:eastAsia="hu-HU"/>
        </w:rPr>
        <mc:AlternateContent>
          <mc:Choice Requires="wps">
            <w:drawing>
              <wp:anchor distT="91440" distB="91440" distL="114300" distR="114300" simplePos="0" relativeHeight="251659264" behindDoc="1" locked="0" layoutInCell="1" allowOverlap="1" wp14:anchorId="7A0E0E96" wp14:editId="43D46068">
                <wp:simplePos x="0" y="0"/>
                <wp:positionH relativeFrom="page">
                  <wp:posOffset>1343025</wp:posOffset>
                </wp:positionH>
                <wp:positionV relativeFrom="paragraph">
                  <wp:posOffset>0</wp:posOffset>
                </wp:positionV>
                <wp:extent cx="4886325" cy="1552575"/>
                <wp:effectExtent l="0" t="0" r="9525" b="9525"/>
                <wp:wrapTight wrapText="bothSides">
                  <wp:wrapPolygon edited="0">
                    <wp:start x="0" y="0"/>
                    <wp:lineTo x="0" y="21467"/>
                    <wp:lineTo x="21558" y="21467"/>
                    <wp:lineTo x="21558" y="0"/>
                    <wp:lineTo x="0" y="0"/>
                  </wp:wrapPolygon>
                </wp:wrapTight>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552575"/>
                        </a:xfrm>
                        <a:prstGeom prst="rect">
                          <a:avLst/>
                        </a:prstGeom>
                        <a:solidFill>
                          <a:srgbClr val="960000"/>
                        </a:solidFill>
                        <a:ln w="9525">
                          <a:noFill/>
                          <a:miter lim="800000"/>
                          <a:headEnd/>
                          <a:tailEnd/>
                        </a:ln>
                      </wps:spPr>
                      <wps:txbx>
                        <w:txbxContent>
                          <w:p w14:paraId="38B00991" w14:textId="0C6C00FB" w:rsidR="00E80BDB" w:rsidRPr="00107FB7" w:rsidRDefault="00E132A3" w:rsidP="008B1ACE">
                            <w:pPr>
                              <w:spacing w:after="0" w:line="240" w:lineRule="auto"/>
                              <w:jc w:val="center"/>
                              <w:rPr>
                                <w:rFonts w:ascii="Open Sans" w:eastAsia="Calibri" w:hAnsi="Open Sans" w:cs="Open Sans"/>
                                <w:b/>
                                <w:sz w:val="28"/>
                                <w:szCs w:val="28"/>
                              </w:rPr>
                            </w:pPr>
                            <w:r w:rsidRPr="00107FB7">
                              <w:rPr>
                                <w:rFonts w:ascii="Open Sans" w:eastAsia="Calibri" w:hAnsi="Open Sans" w:cs="Open Sans"/>
                                <w:b/>
                                <w:sz w:val="28"/>
                                <w:szCs w:val="28"/>
                              </w:rPr>
                              <w:t>CSERTI-SZAUER CSILLA</w:t>
                            </w:r>
                            <w:r w:rsidR="0061208B" w:rsidRPr="00107FB7">
                              <w:rPr>
                                <w:rFonts w:ascii="Open Sans" w:eastAsia="Calibri" w:hAnsi="Open Sans" w:cs="Open Sans"/>
                                <w:b/>
                                <w:sz w:val="28"/>
                                <w:szCs w:val="28"/>
                              </w:rPr>
                              <w:t xml:space="preserve"> DRS.:</w:t>
                            </w:r>
                          </w:p>
                          <w:p w14:paraId="49BC55CC" w14:textId="593451E4" w:rsidR="008B1ACE" w:rsidRDefault="008B1ACE" w:rsidP="008B1ACE">
                            <w:pPr>
                              <w:spacing w:after="0" w:line="240" w:lineRule="auto"/>
                              <w:jc w:val="center"/>
                              <w:rPr>
                                <w:rFonts w:ascii="Calibri" w:eastAsia="Calibri" w:hAnsi="Calibri" w:cs="Calibri"/>
                                <w:b/>
                                <w:sz w:val="28"/>
                                <w:szCs w:val="28"/>
                              </w:rPr>
                            </w:pPr>
                          </w:p>
                          <w:p w14:paraId="47368F6A" w14:textId="77777777" w:rsidR="008B1ACE" w:rsidRDefault="008B1ACE" w:rsidP="008B1ACE">
                            <w:pPr>
                              <w:spacing w:after="0" w:line="240" w:lineRule="auto"/>
                              <w:jc w:val="center"/>
                              <w:rPr>
                                <w:rFonts w:ascii="Calibri" w:eastAsia="Calibri" w:hAnsi="Calibri" w:cs="Calibri"/>
                                <w:b/>
                                <w:sz w:val="28"/>
                                <w:szCs w:val="28"/>
                              </w:rPr>
                            </w:pPr>
                          </w:p>
                          <w:p w14:paraId="4F23565C" w14:textId="4CB04CA6" w:rsidR="0045124F" w:rsidRPr="00107FB7" w:rsidRDefault="00E52D8D" w:rsidP="00E52D8D">
                            <w:pPr>
                              <w:spacing w:after="0" w:line="240" w:lineRule="auto"/>
                              <w:jc w:val="center"/>
                              <w:rPr>
                                <w:rFonts w:ascii="Open Sans" w:eastAsia="Calibri" w:hAnsi="Open Sans" w:cs="Open Sans"/>
                                <w:b/>
                                <w:sz w:val="24"/>
                                <w:szCs w:val="24"/>
                              </w:rPr>
                            </w:pPr>
                            <w:r w:rsidRPr="00107FB7">
                              <w:rPr>
                                <w:rFonts w:ascii="Open Sans" w:eastAsia="Calibri" w:hAnsi="Open Sans" w:cs="Open Sans"/>
                                <w:b/>
                                <w:sz w:val="24"/>
                                <w:szCs w:val="24"/>
                              </w:rPr>
                              <w:t xml:space="preserve">Az egész életutat támogató pályaorientáció mint </w:t>
                            </w:r>
                            <w:proofErr w:type="spellStart"/>
                            <w:r w:rsidRPr="00107FB7">
                              <w:rPr>
                                <w:rFonts w:ascii="Open Sans" w:eastAsia="Calibri" w:hAnsi="Open Sans" w:cs="Open Sans"/>
                                <w:b/>
                                <w:sz w:val="24"/>
                                <w:szCs w:val="24"/>
                              </w:rPr>
                              <w:t>empowerment</w:t>
                            </w:r>
                            <w:proofErr w:type="spellEnd"/>
                            <w:r w:rsidRPr="00107FB7">
                              <w:rPr>
                                <w:rFonts w:ascii="Open Sans" w:eastAsia="Calibri" w:hAnsi="Open Sans" w:cs="Open Sans"/>
                                <w:b/>
                                <w:sz w:val="24"/>
                                <w:szCs w:val="24"/>
                              </w:rPr>
                              <w:t xml:space="preserve"> tevékenység. Intellektuális fogyatékossággal élő tanulók lehetőségei a hazai iskolarendszerben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E0E96" id="_x0000_t202" coordsize="21600,21600" o:spt="202" path="m,l,21600r21600,l21600,xe">
                <v:stroke joinstyle="miter"/>
                <v:path gradientshapeok="t" o:connecttype="rect"/>
              </v:shapetype>
              <v:shape id="Szövegdoboz 2" o:spid="_x0000_s1026" type="#_x0000_t202" style="position:absolute;left:0;text-align:left;margin-left:105.75pt;margin-top:0;width:384.75pt;height:122.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" fillcolor="#960000" stroked="f">
                <v:textbox>
                  <w:txbxContent>
                    <w:p w14:paraId="38B00991" w14:textId="0C6C00FB" w:rsidR="00E80BDB" w:rsidRPr="00107FB7" w:rsidRDefault="00E132A3" w:rsidP="008B1ACE">
                      <w:pPr>
                        <w:spacing w:after="0" w:line="240" w:lineRule="auto"/>
                        <w:jc w:val="center"/>
                        <w:rPr>
                          <w:rFonts w:ascii="Open Sans" w:eastAsia="Calibri" w:hAnsi="Open Sans" w:cs="Open Sans"/>
                          <w:b/>
                          <w:sz w:val="28"/>
                          <w:szCs w:val="28"/>
                        </w:rPr>
                      </w:pPr>
                      <w:r w:rsidRPr="00107FB7">
                        <w:rPr>
                          <w:rFonts w:ascii="Open Sans" w:eastAsia="Calibri" w:hAnsi="Open Sans" w:cs="Open Sans"/>
                          <w:b/>
                          <w:sz w:val="28"/>
                          <w:szCs w:val="28"/>
                        </w:rPr>
                        <w:t>CSERTI-SZAUER CSILLA</w:t>
                      </w:r>
                      <w:r w:rsidR="0061208B" w:rsidRPr="00107FB7">
                        <w:rPr>
                          <w:rFonts w:ascii="Open Sans" w:eastAsia="Calibri" w:hAnsi="Open Sans" w:cs="Open Sans"/>
                          <w:b/>
                          <w:sz w:val="28"/>
                          <w:szCs w:val="28"/>
                        </w:rPr>
                        <w:t xml:space="preserve"> DRS.:</w:t>
                      </w:r>
                    </w:p>
                    <w:p w14:paraId="49BC55CC" w14:textId="593451E4" w:rsidR="008B1ACE" w:rsidRDefault="008B1ACE" w:rsidP="008B1ACE">
                      <w:pPr>
                        <w:spacing w:after="0" w:line="240" w:lineRule="auto"/>
                        <w:jc w:val="center"/>
                        <w:rPr>
                          <w:rFonts w:ascii="Calibri" w:eastAsia="Calibri" w:hAnsi="Calibri" w:cs="Calibri"/>
                          <w:b/>
                          <w:sz w:val="28"/>
                          <w:szCs w:val="28"/>
                        </w:rPr>
                      </w:pPr>
                    </w:p>
                    <w:p w14:paraId="47368F6A" w14:textId="77777777" w:rsidR="008B1ACE" w:rsidRDefault="008B1ACE" w:rsidP="008B1ACE">
                      <w:pPr>
                        <w:spacing w:after="0" w:line="240" w:lineRule="auto"/>
                        <w:jc w:val="center"/>
                        <w:rPr>
                          <w:rFonts w:ascii="Calibri" w:eastAsia="Calibri" w:hAnsi="Calibri" w:cs="Calibri"/>
                          <w:b/>
                          <w:sz w:val="28"/>
                          <w:szCs w:val="28"/>
                        </w:rPr>
                      </w:pPr>
                    </w:p>
                    <w:p w14:paraId="4F23565C" w14:textId="4CB04CA6" w:rsidR="0045124F" w:rsidRPr="00107FB7" w:rsidRDefault="00E52D8D" w:rsidP="00E52D8D">
                      <w:pPr>
                        <w:spacing w:after="0" w:line="240" w:lineRule="auto"/>
                        <w:jc w:val="center"/>
                        <w:rPr>
                          <w:rFonts w:ascii="Open Sans" w:eastAsia="Calibri" w:hAnsi="Open Sans" w:cs="Open Sans"/>
                          <w:b/>
                          <w:sz w:val="24"/>
                          <w:szCs w:val="24"/>
                        </w:rPr>
                      </w:pPr>
                      <w:r w:rsidRPr="00107FB7">
                        <w:rPr>
                          <w:rFonts w:ascii="Open Sans" w:eastAsia="Calibri" w:hAnsi="Open Sans" w:cs="Open Sans"/>
                          <w:b/>
                          <w:sz w:val="24"/>
                          <w:szCs w:val="24"/>
                        </w:rPr>
                        <w:t xml:space="preserve">Az egész életutat támogató pályaorientáció mint </w:t>
                      </w:r>
                      <w:proofErr w:type="spellStart"/>
                      <w:r w:rsidRPr="00107FB7">
                        <w:rPr>
                          <w:rFonts w:ascii="Open Sans" w:eastAsia="Calibri" w:hAnsi="Open Sans" w:cs="Open Sans"/>
                          <w:b/>
                          <w:sz w:val="24"/>
                          <w:szCs w:val="24"/>
                        </w:rPr>
                        <w:t>empowerment</w:t>
                      </w:r>
                      <w:proofErr w:type="spellEnd"/>
                      <w:r w:rsidRPr="00107FB7">
                        <w:rPr>
                          <w:rFonts w:ascii="Open Sans" w:eastAsia="Calibri" w:hAnsi="Open Sans" w:cs="Open Sans"/>
                          <w:b/>
                          <w:sz w:val="24"/>
                          <w:szCs w:val="24"/>
                        </w:rPr>
                        <w:t xml:space="preserve"> tevékenység. Intellektuális fogyatékossággal élő tanulók lehetőségei a hazai iskolarendszerben</w:t>
                      </w:r>
                    </w:p>
                  </w:txbxContent>
                </v:textbox>
                <w10:wrap type="tight" anchorx="page"/>
              </v:shape>
            </w:pict>
          </mc:Fallback>
        </mc:AlternateContent>
      </w:r>
      <w:r w:rsidR="0061208B" w:rsidRPr="0061208B">
        <w:rPr>
          <w:rFonts w:ascii="Calibri Light" w:hAnsi="Calibri Light"/>
          <w:i/>
        </w:rPr>
        <w:t xml:space="preserve"> </w:t>
      </w:r>
    </w:p>
    <w:p w14:paraId="5AC5539B" w14:textId="77777777" w:rsidR="00CB6256" w:rsidRDefault="00CB6256" w:rsidP="00E80BDB">
      <w:pPr>
        <w:ind w:right="-456"/>
        <w:jc w:val="both"/>
        <w:rPr>
          <w:rFonts w:ascii="Calibri Light" w:hAnsi="Calibri Light"/>
          <w:i/>
        </w:rPr>
      </w:pPr>
    </w:p>
    <w:p w14:paraId="3596CD3B" w14:textId="77777777" w:rsidR="00CB6256" w:rsidRDefault="00CB6256" w:rsidP="00E80BDB">
      <w:pPr>
        <w:ind w:right="-456"/>
        <w:jc w:val="both"/>
        <w:rPr>
          <w:rFonts w:ascii="Calibri Light" w:hAnsi="Calibri Light"/>
          <w:i/>
        </w:rPr>
      </w:pPr>
    </w:p>
    <w:p w14:paraId="06494DBE" w14:textId="77777777" w:rsidR="00CB6256" w:rsidRDefault="00CB6256" w:rsidP="00E80BDB">
      <w:pPr>
        <w:ind w:right="-456"/>
        <w:jc w:val="both"/>
        <w:rPr>
          <w:rFonts w:ascii="Calibri Light" w:hAnsi="Calibri Light"/>
          <w:i/>
        </w:rPr>
      </w:pPr>
    </w:p>
    <w:p w14:paraId="1722E43E" w14:textId="77777777" w:rsidR="00CB6256" w:rsidRDefault="00CB6256" w:rsidP="00E80BDB">
      <w:pPr>
        <w:ind w:right="-456"/>
        <w:jc w:val="both"/>
        <w:rPr>
          <w:rFonts w:ascii="Calibri Light" w:hAnsi="Calibri Light"/>
          <w:i/>
        </w:rPr>
      </w:pPr>
    </w:p>
    <w:p w14:paraId="3FE14B61" w14:textId="77777777" w:rsidR="00CB6256" w:rsidRDefault="00CB6256" w:rsidP="00E80BDB">
      <w:pPr>
        <w:ind w:right="-456"/>
        <w:jc w:val="both"/>
        <w:rPr>
          <w:rFonts w:ascii="Calibri Light" w:hAnsi="Calibri Light"/>
          <w:i/>
        </w:rPr>
      </w:pPr>
    </w:p>
    <w:p w14:paraId="72D2CF25" w14:textId="77777777" w:rsidR="00CB6256" w:rsidRDefault="00CB6256" w:rsidP="00E80BDB">
      <w:pPr>
        <w:ind w:right="-456"/>
        <w:jc w:val="both"/>
        <w:rPr>
          <w:rFonts w:ascii="Calibri Light" w:hAnsi="Calibri Light"/>
          <w:i/>
        </w:rPr>
      </w:pPr>
    </w:p>
    <w:p w14:paraId="11142D5E" w14:textId="77777777" w:rsidR="00692A55" w:rsidRPr="00107FB7" w:rsidRDefault="00692A55" w:rsidP="00692A55">
      <w:pPr>
        <w:pStyle w:val="Default"/>
        <w:rPr>
          <w:rFonts w:ascii="Open Sans" w:hAnsi="Open Sans" w:cs="Open Sans"/>
          <w:iCs/>
          <w:sz w:val="20"/>
          <w:szCs w:val="20"/>
        </w:rPr>
      </w:pPr>
      <w:r w:rsidRPr="00107FB7">
        <w:rPr>
          <w:rFonts w:ascii="Open Sans" w:hAnsi="Open Sans" w:cs="Open Sans"/>
          <w:iCs/>
          <w:sz w:val="20"/>
          <w:szCs w:val="20"/>
        </w:rPr>
        <w:t xml:space="preserve">ELTE PPK Neveléstudományi Doktori Iskola Gyógypedagógia program </w:t>
      </w:r>
    </w:p>
    <w:p w14:paraId="4E1D1C1B" w14:textId="77777777" w:rsidR="00692A55" w:rsidRPr="00107FB7" w:rsidRDefault="00692A55" w:rsidP="00692A55">
      <w:pPr>
        <w:pStyle w:val="Default"/>
        <w:rPr>
          <w:rFonts w:ascii="Open Sans" w:hAnsi="Open Sans" w:cs="Open Sans"/>
          <w:iCs/>
          <w:sz w:val="20"/>
          <w:szCs w:val="20"/>
        </w:rPr>
      </w:pPr>
      <w:r w:rsidRPr="00107FB7">
        <w:rPr>
          <w:rFonts w:ascii="Open Sans" w:hAnsi="Open Sans" w:cs="Open Sans"/>
          <w:iCs/>
          <w:sz w:val="20"/>
          <w:szCs w:val="20"/>
        </w:rPr>
        <w:t>Témavezető: Prof. Dr. Bánfalvy Csaba, egyetemi tanár, ELTE BGGYK</w:t>
      </w:r>
    </w:p>
    <w:p w14:paraId="4DCC110C" w14:textId="77777777" w:rsidR="00692A55" w:rsidRPr="00B35E77" w:rsidRDefault="00692A55" w:rsidP="00692A55">
      <w:pPr>
        <w:pStyle w:val="Default"/>
        <w:rPr>
          <w:iCs/>
          <w:sz w:val="23"/>
          <w:szCs w:val="23"/>
        </w:rPr>
      </w:pPr>
    </w:p>
    <w:p w14:paraId="28B6E003" w14:textId="77777777" w:rsidR="00692A55" w:rsidRPr="00DE72CF" w:rsidRDefault="00692A55" w:rsidP="00692A55">
      <w:pPr>
        <w:pStyle w:val="Default"/>
        <w:jc w:val="both"/>
        <w:rPr>
          <w:rFonts w:ascii="Open Sans" w:hAnsi="Open Sans" w:cs="Open Sans"/>
          <w:b/>
          <w:iCs/>
          <w:sz w:val="22"/>
          <w:szCs w:val="22"/>
        </w:rPr>
      </w:pPr>
      <w:r w:rsidRPr="00DE72CF">
        <w:rPr>
          <w:rFonts w:ascii="Open Sans" w:hAnsi="Open Sans" w:cs="Open Sans"/>
          <w:b/>
          <w:iCs/>
          <w:sz w:val="22"/>
          <w:szCs w:val="22"/>
        </w:rPr>
        <w:t>Absztrakt</w:t>
      </w:r>
    </w:p>
    <w:p w14:paraId="0ABCA717" w14:textId="77777777" w:rsidR="00692A55" w:rsidRPr="00CD18AA" w:rsidRDefault="00692A55" w:rsidP="00692A55">
      <w:pPr>
        <w:pStyle w:val="Default"/>
        <w:jc w:val="both"/>
        <w:rPr>
          <w:iCs/>
          <w:sz w:val="22"/>
          <w:szCs w:val="22"/>
        </w:rPr>
      </w:pPr>
    </w:p>
    <w:p w14:paraId="0262C239" w14:textId="77777777" w:rsidR="00692A55" w:rsidRPr="00DE72CF" w:rsidRDefault="00692A55" w:rsidP="00DE72CF">
      <w:pPr>
        <w:pStyle w:val="Default"/>
        <w:rPr>
          <w:rFonts w:ascii="Open Sans" w:hAnsi="Open Sans" w:cs="Open Sans"/>
          <w:b/>
          <w:bCs/>
          <w:iCs/>
          <w:sz w:val="20"/>
          <w:szCs w:val="20"/>
        </w:rPr>
      </w:pPr>
      <w:r w:rsidRPr="00DE72CF">
        <w:rPr>
          <w:rFonts w:ascii="Open Sans" w:hAnsi="Open Sans" w:cs="Open Sans"/>
          <w:b/>
          <w:bCs/>
          <w:iCs/>
          <w:sz w:val="20"/>
          <w:szCs w:val="20"/>
        </w:rPr>
        <w:t>Háttér és célok</w:t>
      </w:r>
    </w:p>
    <w:p w14:paraId="21C1C645" w14:textId="77777777" w:rsidR="00692A55" w:rsidRPr="00DE72CF" w:rsidRDefault="00692A55" w:rsidP="00DE72CF">
      <w:pPr>
        <w:pStyle w:val="Default"/>
        <w:rPr>
          <w:rFonts w:ascii="Open Sans" w:hAnsi="Open Sans" w:cs="Open Sans"/>
          <w:iCs/>
          <w:sz w:val="20"/>
          <w:szCs w:val="20"/>
        </w:rPr>
      </w:pPr>
      <w:r w:rsidRPr="00DE72CF">
        <w:rPr>
          <w:rFonts w:ascii="Open Sans" w:hAnsi="Open Sans" w:cs="Open Sans"/>
          <w:iCs/>
          <w:sz w:val="20"/>
          <w:szCs w:val="20"/>
        </w:rPr>
        <w:t xml:space="preserve">Számtalan kutatás erősíti meg világszerte, hogy az intellektuális fogyatékossággal élő személyek többsége a XXI. század elején sem fér hozzá azokhoz az alapvető oktatási, jövőtervezési és munkaerőpiaci szolgáltatásokhoz, amelyek által közösségeik aktív, önrendelkező polgáraivá válhatnak. Nap, mint nap sérülnek állampolgári jogaik és különböző mértékű diszkriminációval, kirekesztéssel szembesülnek. </w:t>
      </w:r>
      <w:proofErr w:type="spellStart"/>
      <w:r w:rsidRPr="00DE72CF">
        <w:rPr>
          <w:rFonts w:ascii="Open Sans" w:hAnsi="Open Sans" w:cs="Open Sans"/>
          <w:iCs/>
          <w:sz w:val="20"/>
          <w:szCs w:val="20"/>
        </w:rPr>
        <w:t>Szocioökonómiai</w:t>
      </w:r>
      <w:proofErr w:type="spellEnd"/>
      <w:r w:rsidRPr="00DE72CF">
        <w:rPr>
          <w:rFonts w:ascii="Open Sans" w:hAnsi="Open Sans" w:cs="Open Sans"/>
          <w:iCs/>
          <w:sz w:val="20"/>
          <w:szCs w:val="20"/>
        </w:rPr>
        <w:t xml:space="preserve"> hátterük gyenge, erősen sújtja őket a szegénység (World Health </w:t>
      </w:r>
      <w:proofErr w:type="spellStart"/>
      <w:r w:rsidRPr="00DE72CF">
        <w:rPr>
          <w:rFonts w:ascii="Open Sans" w:hAnsi="Open Sans" w:cs="Open Sans"/>
          <w:iCs/>
          <w:sz w:val="20"/>
          <w:szCs w:val="20"/>
        </w:rPr>
        <w:t>Organisation</w:t>
      </w:r>
      <w:proofErr w:type="spellEnd"/>
      <w:r w:rsidRPr="00DE72CF">
        <w:rPr>
          <w:rFonts w:ascii="Open Sans" w:hAnsi="Open Sans" w:cs="Open Sans"/>
          <w:iCs/>
          <w:sz w:val="20"/>
          <w:szCs w:val="20"/>
        </w:rPr>
        <w:t xml:space="preserve"> &amp; World Bank, 2011). </w:t>
      </w:r>
    </w:p>
    <w:p w14:paraId="21E01C70" w14:textId="77777777" w:rsidR="00692A55" w:rsidRPr="00DE72CF" w:rsidRDefault="00692A55" w:rsidP="00DE72CF">
      <w:pPr>
        <w:pStyle w:val="Default"/>
        <w:rPr>
          <w:rFonts w:ascii="Open Sans" w:hAnsi="Open Sans" w:cs="Open Sans"/>
          <w:iCs/>
          <w:sz w:val="20"/>
          <w:szCs w:val="20"/>
        </w:rPr>
      </w:pPr>
      <w:r w:rsidRPr="00DE72CF">
        <w:rPr>
          <w:rFonts w:ascii="Open Sans" w:hAnsi="Open Sans" w:cs="Open Sans"/>
          <w:iCs/>
          <w:sz w:val="20"/>
          <w:szCs w:val="20"/>
        </w:rPr>
        <w:t xml:space="preserve">Az intellektuális fogyatékossággal élő személyek helyett manapság is szakemberek és családtagok </w:t>
      </w:r>
      <w:proofErr w:type="gramStart"/>
      <w:r w:rsidRPr="00DE72CF">
        <w:rPr>
          <w:rFonts w:ascii="Open Sans" w:hAnsi="Open Sans" w:cs="Open Sans"/>
          <w:iCs/>
          <w:sz w:val="20"/>
          <w:szCs w:val="20"/>
        </w:rPr>
        <w:t>hoznak döntést</w:t>
      </w:r>
      <w:proofErr w:type="gramEnd"/>
      <w:r w:rsidRPr="00DE72CF">
        <w:rPr>
          <w:rFonts w:ascii="Open Sans" w:hAnsi="Open Sans" w:cs="Open Sans"/>
          <w:iCs/>
          <w:sz w:val="20"/>
          <w:szCs w:val="20"/>
        </w:rPr>
        <w:t xml:space="preserve"> a legkülönfélébb élethelyzetekben, ezáltal kedves, de inkompetens személyekként azonosítva őket. (</w:t>
      </w:r>
      <w:proofErr w:type="spellStart"/>
      <w:r w:rsidRPr="00DE72CF">
        <w:rPr>
          <w:rFonts w:ascii="Open Sans" w:hAnsi="Open Sans" w:cs="Open Sans"/>
          <w:iCs/>
          <w:sz w:val="20"/>
          <w:szCs w:val="20"/>
        </w:rPr>
        <w:t>O’Byrne</w:t>
      </w:r>
      <w:proofErr w:type="spellEnd"/>
      <w:r w:rsidRPr="00DE72CF">
        <w:rPr>
          <w:rFonts w:ascii="Open Sans" w:hAnsi="Open Sans" w:cs="Open Sans"/>
          <w:iCs/>
          <w:sz w:val="20"/>
          <w:szCs w:val="20"/>
        </w:rPr>
        <w:t xml:space="preserve"> &amp; </w:t>
      </w:r>
      <w:proofErr w:type="spellStart"/>
      <w:r w:rsidRPr="00DE72CF">
        <w:rPr>
          <w:rFonts w:ascii="Open Sans" w:hAnsi="Open Sans" w:cs="Open Sans"/>
          <w:iCs/>
          <w:sz w:val="20"/>
          <w:szCs w:val="20"/>
        </w:rPr>
        <w:t>Muldoon</w:t>
      </w:r>
      <w:proofErr w:type="spellEnd"/>
      <w:r w:rsidRPr="00DE72CF">
        <w:rPr>
          <w:rFonts w:ascii="Open Sans" w:hAnsi="Open Sans" w:cs="Open Sans"/>
          <w:iCs/>
          <w:sz w:val="20"/>
          <w:szCs w:val="20"/>
        </w:rPr>
        <w:t xml:space="preserve">, 2018) Ez a helyettes döntéshozatali mechanizmus és a rá épülő szolgáltatási struktúrák pedig befolyásolják önrendelkező életvitelüket. (Gombos &amp; Könczei, 2009) A számukra biztosított életpálya-fejlesztés, pályaorientáció és jövőtervezés tehát kulcs-kérdés. </w:t>
      </w:r>
    </w:p>
    <w:p w14:paraId="2DAFB73A" w14:textId="77777777" w:rsidR="00692A55" w:rsidRDefault="00692A55" w:rsidP="00692A55">
      <w:pPr>
        <w:pStyle w:val="Default"/>
        <w:jc w:val="both"/>
        <w:rPr>
          <w:sz w:val="22"/>
          <w:szCs w:val="22"/>
        </w:rPr>
      </w:pPr>
    </w:p>
    <w:p w14:paraId="4914EAEF" w14:textId="77777777" w:rsidR="00692A55" w:rsidRPr="00107FB7" w:rsidRDefault="00692A55" w:rsidP="00DE72CF">
      <w:pPr>
        <w:pStyle w:val="Default"/>
        <w:rPr>
          <w:rFonts w:ascii="Open Sans" w:hAnsi="Open Sans" w:cs="Open Sans"/>
          <w:b/>
          <w:bCs/>
          <w:iCs/>
          <w:sz w:val="20"/>
          <w:szCs w:val="20"/>
        </w:rPr>
      </w:pPr>
      <w:r w:rsidRPr="00107FB7">
        <w:rPr>
          <w:rFonts w:ascii="Open Sans" w:hAnsi="Open Sans" w:cs="Open Sans"/>
          <w:b/>
          <w:bCs/>
          <w:iCs/>
          <w:sz w:val="20"/>
          <w:szCs w:val="20"/>
        </w:rPr>
        <w:t>A bemutatásra kerülő kutatás</w:t>
      </w:r>
    </w:p>
    <w:p w14:paraId="4285BBE0" w14:textId="77777777" w:rsidR="00692A55" w:rsidRPr="00DE72CF" w:rsidRDefault="00692A55" w:rsidP="00DE72CF">
      <w:pPr>
        <w:pStyle w:val="Default"/>
        <w:rPr>
          <w:rFonts w:ascii="Open Sans" w:hAnsi="Open Sans" w:cs="Open Sans"/>
          <w:iCs/>
          <w:sz w:val="20"/>
          <w:szCs w:val="20"/>
        </w:rPr>
      </w:pPr>
      <w:r w:rsidRPr="00DE72CF">
        <w:rPr>
          <w:rFonts w:ascii="Open Sans" w:hAnsi="Open Sans" w:cs="Open Sans"/>
          <w:iCs/>
          <w:sz w:val="20"/>
          <w:szCs w:val="20"/>
        </w:rPr>
        <w:t xml:space="preserve">A doktori kutatás középpontjában az intellektuális fogyatékossággal élő tanulók által elérhető és igénybe vehető pályaorientációs szolgáltatások feltérképezése áll. Az előadásban bemutatjuk azokat az elméleti kereteket, amelyek a pályaorientációs szolgáltatások fejlődését övezik hazánkban, az Egyesült Államokban és az Egyesült Királyságban. Hangsúlyozzuk azt a kapcsolódást, amely a fogyatékosságtudomány, azon belül is a társadalompolitikai modell és az </w:t>
      </w:r>
      <w:proofErr w:type="spellStart"/>
      <w:r w:rsidRPr="00DE72CF">
        <w:rPr>
          <w:rFonts w:ascii="Open Sans" w:hAnsi="Open Sans" w:cs="Open Sans"/>
          <w:iCs/>
          <w:sz w:val="20"/>
          <w:szCs w:val="20"/>
        </w:rPr>
        <w:t>empowerment</w:t>
      </w:r>
      <w:proofErr w:type="spellEnd"/>
      <w:r w:rsidRPr="00DE72CF">
        <w:rPr>
          <w:rFonts w:ascii="Open Sans" w:hAnsi="Open Sans" w:cs="Open Sans"/>
          <w:iCs/>
          <w:sz w:val="20"/>
          <w:szCs w:val="20"/>
        </w:rPr>
        <w:t xml:space="preserve"> teória megjelenéséből eredeztethető.  </w:t>
      </w:r>
    </w:p>
    <w:p w14:paraId="1F854D2E" w14:textId="77777777" w:rsidR="00692A55" w:rsidRPr="00DE72CF" w:rsidRDefault="00692A55" w:rsidP="00DE72CF">
      <w:pPr>
        <w:pStyle w:val="Default"/>
        <w:rPr>
          <w:rFonts w:ascii="Open Sans" w:hAnsi="Open Sans" w:cs="Open Sans"/>
          <w:iCs/>
          <w:sz w:val="20"/>
          <w:szCs w:val="20"/>
        </w:rPr>
      </w:pPr>
    </w:p>
    <w:p w14:paraId="57EE9827" w14:textId="77777777" w:rsidR="00692A55" w:rsidRPr="00DE72CF" w:rsidRDefault="00692A55" w:rsidP="00DE72CF">
      <w:pPr>
        <w:pStyle w:val="Default"/>
        <w:rPr>
          <w:rFonts w:ascii="Open Sans" w:hAnsi="Open Sans" w:cs="Open Sans"/>
          <w:iCs/>
          <w:sz w:val="20"/>
          <w:szCs w:val="20"/>
        </w:rPr>
      </w:pPr>
      <w:r w:rsidRPr="00DE72CF">
        <w:rPr>
          <w:rFonts w:ascii="Open Sans" w:hAnsi="Open Sans" w:cs="Open Sans"/>
          <w:iCs/>
          <w:sz w:val="20"/>
          <w:szCs w:val="20"/>
        </w:rPr>
        <w:t xml:space="preserve">Ismertetjük, hogy az elméleti keretekhez illeszkedve milyen elemekből építettük fel kvalitatív kutatási stratégiánkat, mely lehetőséget ad arra, hogy feltáró, feltérképező céljaink miatt </w:t>
      </w:r>
      <w:proofErr w:type="spellStart"/>
      <w:r w:rsidRPr="00DE72CF">
        <w:rPr>
          <w:rFonts w:ascii="Open Sans" w:hAnsi="Open Sans" w:cs="Open Sans"/>
          <w:iCs/>
          <w:sz w:val="20"/>
          <w:szCs w:val="20"/>
        </w:rPr>
        <w:t>kérdésvezérelt</w:t>
      </w:r>
      <w:proofErr w:type="spellEnd"/>
      <w:r w:rsidRPr="00DE72CF">
        <w:rPr>
          <w:rFonts w:ascii="Open Sans" w:hAnsi="Open Sans" w:cs="Open Sans"/>
          <w:iCs/>
          <w:sz w:val="20"/>
          <w:szCs w:val="20"/>
        </w:rPr>
        <w:t xml:space="preserve"> munkát végezzünk. Beszámolunk kismintás adatgyűjtésünk és elemzésünk első eredményeiről is. </w:t>
      </w:r>
    </w:p>
    <w:p w14:paraId="77500414" w14:textId="77777777" w:rsidR="00692A55" w:rsidRDefault="00692A55" w:rsidP="00692A55">
      <w:pPr>
        <w:pStyle w:val="Default"/>
        <w:jc w:val="both"/>
        <w:rPr>
          <w:sz w:val="22"/>
          <w:szCs w:val="22"/>
        </w:rPr>
      </w:pPr>
    </w:p>
    <w:p w14:paraId="53B97364" w14:textId="77777777" w:rsidR="00692A55" w:rsidRDefault="00692A55" w:rsidP="00692A55">
      <w:pPr>
        <w:pStyle w:val="Default"/>
        <w:jc w:val="both"/>
        <w:rPr>
          <w:sz w:val="22"/>
          <w:szCs w:val="22"/>
        </w:rPr>
      </w:pPr>
    </w:p>
    <w:p w14:paraId="0C8CB48C" w14:textId="77777777" w:rsidR="00692A55" w:rsidRPr="00107FB7" w:rsidRDefault="00692A55" w:rsidP="00692A55">
      <w:pPr>
        <w:pStyle w:val="Default"/>
        <w:jc w:val="both"/>
        <w:rPr>
          <w:rFonts w:ascii="Open Sans" w:hAnsi="Open Sans" w:cs="Open Sans"/>
          <w:b/>
          <w:iCs/>
          <w:sz w:val="20"/>
          <w:szCs w:val="20"/>
        </w:rPr>
      </w:pPr>
      <w:r w:rsidRPr="00107FB7">
        <w:rPr>
          <w:rFonts w:ascii="Open Sans" w:hAnsi="Open Sans" w:cs="Open Sans"/>
          <w:b/>
          <w:iCs/>
          <w:sz w:val="20"/>
          <w:szCs w:val="20"/>
        </w:rPr>
        <w:t>Kulcsszavak</w:t>
      </w:r>
    </w:p>
    <w:p w14:paraId="0CF723F2" w14:textId="77777777" w:rsidR="00692A55" w:rsidRPr="00DE72CF" w:rsidRDefault="00692A55" w:rsidP="00DE72CF">
      <w:pPr>
        <w:pStyle w:val="Default"/>
        <w:rPr>
          <w:rFonts w:ascii="Open Sans" w:hAnsi="Open Sans" w:cs="Open Sans"/>
          <w:iCs/>
          <w:sz w:val="20"/>
          <w:szCs w:val="20"/>
        </w:rPr>
      </w:pPr>
      <w:r w:rsidRPr="00DE72CF">
        <w:rPr>
          <w:rFonts w:ascii="Open Sans" w:hAnsi="Open Sans" w:cs="Open Sans"/>
          <w:iCs/>
          <w:sz w:val="20"/>
          <w:szCs w:val="20"/>
        </w:rPr>
        <w:t xml:space="preserve">Egész életutat támogató pályaorientáció, </w:t>
      </w:r>
      <w:proofErr w:type="spellStart"/>
      <w:r w:rsidRPr="00DE72CF">
        <w:rPr>
          <w:rFonts w:ascii="Open Sans" w:hAnsi="Open Sans" w:cs="Open Sans"/>
          <w:iCs/>
          <w:sz w:val="20"/>
          <w:szCs w:val="20"/>
        </w:rPr>
        <w:t>empowerment</w:t>
      </w:r>
      <w:proofErr w:type="spellEnd"/>
      <w:r w:rsidRPr="00DE72CF">
        <w:rPr>
          <w:rFonts w:ascii="Open Sans" w:hAnsi="Open Sans" w:cs="Open Sans"/>
          <w:iCs/>
          <w:sz w:val="20"/>
          <w:szCs w:val="20"/>
        </w:rPr>
        <w:t xml:space="preserve"> teória, intellektuális fogyatékossággal élő tanulók, fogyatékosságtudomány és gyógypedagógia </w:t>
      </w:r>
    </w:p>
    <w:p w14:paraId="02D664FF" w14:textId="64914A43" w:rsidR="00176BCA" w:rsidRDefault="00176BCA" w:rsidP="00176BCA">
      <w:pPr>
        <w:jc w:val="both"/>
        <w:rPr>
          <w:rFonts w:ascii="Calibri Light" w:hAnsi="Calibri Light"/>
          <w:i/>
        </w:rPr>
      </w:pPr>
    </w:p>
    <w:p w14:paraId="7EB60CBB" w14:textId="77777777" w:rsidR="00A17ADC" w:rsidRDefault="00A17ADC" w:rsidP="00176BCA">
      <w:pPr>
        <w:jc w:val="both"/>
        <w:rPr>
          <w:rFonts w:ascii="Calibri Light" w:hAnsi="Calibri Light"/>
          <w:i/>
        </w:rPr>
      </w:pPr>
    </w:p>
    <w:p w14:paraId="6638BB03" w14:textId="77777777" w:rsidR="00A17ADC" w:rsidRDefault="00A17ADC" w:rsidP="00176BCA">
      <w:pPr>
        <w:jc w:val="both"/>
        <w:rPr>
          <w:rFonts w:ascii="Calibri Light" w:hAnsi="Calibri Light"/>
          <w:i/>
        </w:rPr>
      </w:pPr>
    </w:p>
    <w:p w14:paraId="1730CE39" w14:textId="26ED3233" w:rsidR="00A17ADC" w:rsidRDefault="00A17ADC" w:rsidP="00176BCA">
      <w:pPr>
        <w:jc w:val="both"/>
        <w:rPr>
          <w:rFonts w:ascii="Calibri Light" w:hAnsi="Calibri Light"/>
          <w:i/>
        </w:rPr>
      </w:pPr>
    </w:p>
    <w:p w14:paraId="0AA8E6C1" w14:textId="74AB8B37" w:rsidR="00A17ADC" w:rsidRDefault="00692A55" w:rsidP="00176BCA">
      <w:pPr>
        <w:jc w:val="both"/>
        <w:rPr>
          <w:rFonts w:ascii="Calibri Light" w:hAnsi="Calibri Light"/>
          <w:i/>
        </w:rPr>
      </w:pPr>
      <w:r w:rsidRPr="00CD4C32">
        <w:rPr>
          <w:rFonts w:ascii="Calibri" w:eastAsia="Calibri" w:hAnsi="Calibri" w:cs="Calibri"/>
          <w:b/>
          <w:noProof/>
          <w:lang w:eastAsia="hu-HU"/>
        </w:rPr>
        <mc:AlternateContent>
          <mc:Choice Requires="wps">
            <w:drawing>
              <wp:anchor distT="0" distB="0" distL="114300" distR="114300" simplePos="0" relativeHeight="251663360" behindDoc="1" locked="0" layoutInCell="1" allowOverlap="1" wp14:anchorId="553E1E99" wp14:editId="4EBCEAA8">
                <wp:simplePos x="0" y="0"/>
                <wp:positionH relativeFrom="page">
                  <wp:posOffset>1209040</wp:posOffset>
                </wp:positionH>
                <wp:positionV relativeFrom="paragraph">
                  <wp:posOffset>24130</wp:posOffset>
                </wp:positionV>
                <wp:extent cx="5267325" cy="1800225"/>
                <wp:effectExtent l="0" t="0" r="9525" b="9525"/>
                <wp:wrapTight wrapText="bothSides">
                  <wp:wrapPolygon edited="0">
                    <wp:start x="0" y="0"/>
                    <wp:lineTo x="0" y="21486"/>
                    <wp:lineTo x="21561" y="21486"/>
                    <wp:lineTo x="21561" y="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800225"/>
                        </a:xfrm>
                        <a:prstGeom prst="rect">
                          <a:avLst/>
                        </a:prstGeom>
                        <a:solidFill>
                          <a:srgbClr val="920000"/>
                        </a:solidFill>
                        <a:ln w="9525">
                          <a:noFill/>
                          <a:miter lim="800000"/>
                          <a:headEnd/>
                          <a:tailEnd/>
                        </a:ln>
                      </wps:spPr>
                      <wps:txbx>
                        <w:txbxContent>
                          <w:p w14:paraId="01BD7922" w14:textId="3BBB8B5B" w:rsidR="005473A3" w:rsidRPr="00107FB7" w:rsidRDefault="00E52D8D" w:rsidP="005473A3">
                            <w:pPr>
                              <w:spacing w:after="0" w:line="240" w:lineRule="auto"/>
                              <w:jc w:val="center"/>
                              <w:rPr>
                                <w:rFonts w:ascii="Open Sans" w:eastAsia="Calibri" w:hAnsi="Open Sans" w:cs="Open Sans"/>
                                <w:b/>
                                <w:sz w:val="28"/>
                                <w:szCs w:val="28"/>
                              </w:rPr>
                            </w:pPr>
                            <w:r w:rsidRPr="00107FB7">
                              <w:rPr>
                                <w:rFonts w:ascii="Open Sans" w:eastAsia="Calibri" w:hAnsi="Open Sans" w:cs="Open Sans"/>
                                <w:b/>
                                <w:sz w:val="28"/>
                                <w:szCs w:val="28"/>
                              </w:rPr>
                              <w:t>VINCZE GYÖRGYI</w:t>
                            </w:r>
                            <w:r w:rsidR="005473A3" w:rsidRPr="00107FB7">
                              <w:rPr>
                                <w:rFonts w:ascii="Open Sans" w:eastAsia="Calibri" w:hAnsi="Open Sans" w:cs="Open Sans"/>
                                <w:b/>
                                <w:sz w:val="28"/>
                                <w:szCs w:val="28"/>
                              </w:rPr>
                              <w:t xml:space="preserve"> DRS.:</w:t>
                            </w:r>
                          </w:p>
                          <w:p w14:paraId="5E8BD4B6" w14:textId="4EF9C4E3" w:rsidR="005473A3" w:rsidRDefault="005473A3" w:rsidP="005473A3">
                            <w:pPr>
                              <w:spacing w:after="0" w:line="240" w:lineRule="auto"/>
                              <w:jc w:val="center"/>
                              <w:rPr>
                                <w:rFonts w:ascii="Calibri" w:eastAsia="Calibri" w:hAnsi="Calibri" w:cs="Calibri"/>
                                <w:b/>
                                <w:sz w:val="28"/>
                                <w:szCs w:val="28"/>
                              </w:rPr>
                            </w:pPr>
                          </w:p>
                          <w:p w14:paraId="5F030617" w14:textId="77777777" w:rsidR="00E80BDB" w:rsidRDefault="00E80BDB" w:rsidP="008B1ACE">
                            <w:pPr>
                              <w:spacing w:after="0" w:line="240" w:lineRule="auto"/>
                              <w:jc w:val="center"/>
                              <w:rPr>
                                <w:rFonts w:ascii="Calibri" w:eastAsia="Calibri" w:hAnsi="Calibri" w:cs="Calibri"/>
                                <w:b/>
                                <w:sz w:val="28"/>
                                <w:szCs w:val="28"/>
                              </w:rPr>
                            </w:pPr>
                          </w:p>
                          <w:p w14:paraId="30B379DE" w14:textId="4AE1E165" w:rsidR="00692A55" w:rsidRPr="00107FB7" w:rsidRDefault="00692A55" w:rsidP="00107FB7">
                            <w:pPr>
                              <w:spacing w:after="0" w:line="240" w:lineRule="auto"/>
                              <w:jc w:val="center"/>
                              <w:rPr>
                                <w:rFonts w:ascii="Open Sans" w:eastAsia="Calibri" w:hAnsi="Open Sans" w:cs="Open Sans"/>
                                <w:b/>
                                <w:sz w:val="24"/>
                                <w:szCs w:val="24"/>
                              </w:rPr>
                            </w:pPr>
                            <w:r w:rsidRPr="00107FB7">
                              <w:rPr>
                                <w:rFonts w:ascii="Open Sans" w:eastAsia="Calibri" w:hAnsi="Open Sans" w:cs="Open Sans"/>
                                <w:b/>
                                <w:sz w:val="24"/>
                                <w:szCs w:val="24"/>
                              </w:rPr>
                              <w:t>Tanítók, tanárok és gyógypedagógusok nézetei az erkölcsi ítéletalkotás fejlődéséről és fejlesztési lehetőségeiről</w:t>
                            </w:r>
                          </w:p>
                          <w:p w14:paraId="24157545" w14:textId="77777777" w:rsidR="00692A55" w:rsidRPr="00107FB7" w:rsidRDefault="00692A55" w:rsidP="00107FB7">
                            <w:pPr>
                              <w:spacing w:after="0" w:line="240" w:lineRule="auto"/>
                              <w:jc w:val="center"/>
                              <w:rPr>
                                <w:rFonts w:ascii="Open Sans" w:eastAsia="Calibri" w:hAnsi="Open Sans" w:cs="Open Sans"/>
                                <w:b/>
                                <w:sz w:val="24"/>
                                <w:szCs w:val="24"/>
                              </w:rPr>
                            </w:pPr>
                          </w:p>
                          <w:p w14:paraId="5779953F" w14:textId="77777777" w:rsidR="00692A55" w:rsidRPr="00107FB7" w:rsidRDefault="00692A55" w:rsidP="00107FB7">
                            <w:pPr>
                              <w:spacing w:after="0" w:line="240" w:lineRule="auto"/>
                              <w:jc w:val="center"/>
                              <w:rPr>
                                <w:rFonts w:ascii="Open Sans" w:eastAsia="Calibri" w:hAnsi="Open Sans" w:cs="Open Sans"/>
                                <w:b/>
                                <w:sz w:val="24"/>
                                <w:szCs w:val="24"/>
                              </w:rPr>
                            </w:pPr>
                            <w:r w:rsidRPr="00107FB7">
                              <w:rPr>
                                <w:rFonts w:ascii="Open Sans" w:eastAsia="Calibri" w:hAnsi="Open Sans" w:cs="Open Sans"/>
                                <w:b/>
                                <w:sz w:val="24"/>
                                <w:szCs w:val="24"/>
                              </w:rPr>
                              <w:t>A pilot kutatás tapasztalatai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1E99" id="_x0000_s1027" type="#_x0000_t202" style="position:absolute;left:0;text-align:left;margin-left:95.2pt;margin-top:1.9pt;width:414.7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" fillcolor="#920000" stroked="f">
                <v:textbox>
                  <w:txbxContent>
                    <w:p w14:paraId="01BD7922" w14:textId="3BBB8B5B" w:rsidR="005473A3" w:rsidRPr="00107FB7" w:rsidRDefault="00E52D8D" w:rsidP="005473A3">
                      <w:pPr>
                        <w:spacing w:after="0" w:line="240" w:lineRule="auto"/>
                        <w:jc w:val="center"/>
                        <w:rPr>
                          <w:rFonts w:ascii="Open Sans" w:eastAsia="Calibri" w:hAnsi="Open Sans" w:cs="Open Sans"/>
                          <w:b/>
                          <w:sz w:val="28"/>
                          <w:szCs w:val="28"/>
                        </w:rPr>
                      </w:pPr>
                      <w:r w:rsidRPr="00107FB7">
                        <w:rPr>
                          <w:rFonts w:ascii="Open Sans" w:eastAsia="Calibri" w:hAnsi="Open Sans" w:cs="Open Sans"/>
                          <w:b/>
                          <w:sz w:val="28"/>
                          <w:szCs w:val="28"/>
                        </w:rPr>
                        <w:t>VINCZE GYÖRGYI</w:t>
                      </w:r>
                      <w:r w:rsidR="005473A3" w:rsidRPr="00107FB7">
                        <w:rPr>
                          <w:rFonts w:ascii="Open Sans" w:eastAsia="Calibri" w:hAnsi="Open Sans" w:cs="Open Sans"/>
                          <w:b/>
                          <w:sz w:val="28"/>
                          <w:szCs w:val="28"/>
                        </w:rPr>
                        <w:t xml:space="preserve"> DRS.:</w:t>
                      </w:r>
                    </w:p>
                    <w:p w14:paraId="5E8BD4B6" w14:textId="4EF9C4E3" w:rsidR="005473A3" w:rsidRDefault="005473A3" w:rsidP="005473A3">
                      <w:pPr>
                        <w:spacing w:after="0" w:line="240" w:lineRule="auto"/>
                        <w:jc w:val="center"/>
                        <w:rPr>
                          <w:rFonts w:ascii="Calibri" w:eastAsia="Calibri" w:hAnsi="Calibri" w:cs="Calibri"/>
                          <w:b/>
                          <w:sz w:val="28"/>
                          <w:szCs w:val="28"/>
                        </w:rPr>
                      </w:pPr>
                    </w:p>
                    <w:p w14:paraId="5F030617" w14:textId="77777777" w:rsidR="00E80BDB" w:rsidRDefault="00E80BDB" w:rsidP="008B1ACE">
                      <w:pPr>
                        <w:spacing w:after="0" w:line="240" w:lineRule="auto"/>
                        <w:jc w:val="center"/>
                        <w:rPr>
                          <w:rFonts w:ascii="Calibri" w:eastAsia="Calibri" w:hAnsi="Calibri" w:cs="Calibri"/>
                          <w:b/>
                          <w:sz w:val="28"/>
                          <w:szCs w:val="28"/>
                        </w:rPr>
                      </w:pPr>
                    </w:p>
                    <w:p w14:paraId="30B379DE" w14:textId="4AE1E165" w:rsidR="00692A55" w:rsidRPr="00107FB7" w:rsidRDefault="00692A55" w:rsidP="00107FB7">
                      <w:pPr>
                        <w:spacing w:after="0" w:line="240" w:lineRule="auto"/>
                        <w:jc w:val="center"/>
                        <w:rPr>
                          <w:rFonts w:ascii="Open Sans" w:eastAsia="Calibri" w:hAnsi="Open Sans" w:cs="Open Sans"/>
                          <w:b/>
                          <w:sz w:val="24"/>
                          <w:szCs w:val="24"/>
                        </w:rPr>
                      </w:pPr>
                      <w:r w:rsidRPr="00107FB7">
                        <w:rPr>
                          <w:rFonts w:ascii="Open Sans" w:eastAsia="Calibri" w:hAnsi="Open Sans" w:cs="Open Sans"/>
                          <w:b/>
                          <w:sz w:val="24"/>
                          <w:szCs w:val="24"/>
                        </w:rPr>
                        <w:t>Tanítók, tanárok és gyógypedagógusok nézetei az erkölcsi ítéletalkotás fejlődéséről és fejlesztési lehetőségeiről</w:t>
                      </w:r>
                    </w:p>
                    <w:p w14:paraId="24157545" w14:textId="77777777" w:rsidR="00692A55" w:rsidRPr="00107FB7" w:rsidRDefault="00692A55" w:rsidP="00107FB7">
                      <w:pPr>
                        <w:spacing w:after="0" w:line="240" w:lineRule="auto"/>
                        <w:jc w:val="center"/>
                        <w:rPr>
                          <w:rFonts w:ascii="Open Sans" w:eastAsia="Calibri" w:hAnsi="Open Sans" w:cs="Open Sans"/>
                          <w:b/>
                          <w:sz w:val="24"/>
                          <w:szCs w:val="24"/>
                        </w:rPr>
                      </w:pPr>
                    </w:p>
                    <w:p w14:paraId="5779953F" w14:textId="77777777" w:rsidR="00692A55" w:rsidRPr="00107FB7" w:rsidRDefault="00692A55" w:rsidP="00107FB7">
                      <w:pPr>
                        <w:spacing w:after="0" w:line="240" w:lineRule="auto"/>
                        <w:jc w:val="center"/>
                        <w:rPr>
                          <w:rFonts w:ascii="Open Sans" w:eastAsia="Calibri" w:hAnsi="Open Sans" w:cs="Open Sans"/>
                          <w:b/>
                          <w:sz w:val="24"/>
                          <w:szCs w:val="24"/>
                        </w:rPr>
                      </w:pPr>
                      <w:r w:rsidRPr="00107FB7">
                        <w:rPr>
                          <w:rFonts w:ascii="Open Sans" w:eastAsia="Calibri" w:hAnsi="Open Sans" w:cs="Open Sans"/>
                          <w:b/>
                          <w:sz w:val="24"/>
                          <w:szCs w:val="24"/>
                        </w:rPr>
                        <w:t>A pilot kutatás tapasztalatai</w:t>
                      </w:r>
                    </w:p>
                  </w:txbxContent>
                </v:textbox>
                <w10:wrap type="tight" anchorx="page"/>
              </v:shape>
            </w:pict>
          </mc:Fallback>
        </mc:AlternateContent>
      </w:r>
    </w:p>
    <w:p w14:paraId="71DE8535" w14:textId="1EAAB6A5" w:rsidR="00E80BDB" w:rsidRPr="00107FB7" w:rsidRDefault="00A17ADC" w:rsidP="00B35E77">
      <w:pPr>
        <w:pStyle w:val="Default"/>
        <w:rPr>
          <w:rFonts w:ascii="Open Sans" w:hAnsi="Open Sans" w:cs="Open Sans"/>
          <w:iCs/>
          <w:sz w:val="20"/>
          <w:szCs w:val="20"/>
        </w:rPr>
      </w:pPr>
      <w:r w:rsidRPr="00107FB7">
        <w:rPr>
          <w:rFonts w:ascii="Open Sans" w:hAnsi="Open Sans" w:cs="Open Sans"/>
          <w:iCs/>
          <w:sz w:val="20"/>
          <w:szCs w:val="20"/>
        </w:rPr>
        <w:t xml:space="preserve">ELTE PPK </w:t>
      </w:r>
      <w:r w:rsidR="00E80BDB" w:rsidRPr="00107FB7">
        <w:rPr>
          <w:rFonts w:ascii="Open Sans" w:hAnsi="Open Sans" w:cs="Open Sans"/>
          <w:iCs/>
          <w:sz w:val="20"/>
          <w:szCs w:val="20"/>
        </w:rPr>
        <w:t xml:space="preserve">Neveléstudományi Doktori Iskola Gyógypedagógia program </w:t>
      </w:r>
    </w:p>
    <w:p w14:paraId="62E0FB57" w14:textId="153B6822" w:rsidR="00EF7940" w:rsidRPr="00107FB7" w:rsidRDefault="00EF7940" w:rsidP="00B35E77">
      <w:pPr>
        <w:pStyle w:val="Default"/>
        <w:rPr>
          <w:rFonts w:ascii="Open Sans" w:hAnsi="Open Sans" w:cs="Open Sans"/>
          <w:iCs/>
          <w:sz w:val="20"/>
          <w:szCs w:val="20"/>
        </w:rPr>
      </w:pPr>
      <w:r w:rsidRPr="00107FB7">
        <w:rPr>
          <w:rFonts w:ascii="Open Sans" w:hAnsi="Open Sans" w:cs="Open Sans"/>
          <w:iCs/>
          <w:sz w:val="20"/>
          <w:szCs w:val="20"/>
        </w:rPr>
        <w:t>Témavezető</w:t>
      </w:r>
      <w:r w:rsidR="0061208B" w:rsidRPr="00107FB7">
        <w:rPr>
          <w:rFonts w:ascii="Open Sans" w:hAnsi="Open Sans" w:cs="Open Sans"/>
          <w:iCs/>
          <w:sz w:val="20"/>
          <w:szCs w:val="20"/>
        </w:rPr>
        <w:t xml:space="preserve">: </w:t>
      </w:r>
      <w:r w:rsidR="00692A55" w:rsidRPr="00107FB7">
        <w:rPr>
          <w:rFonts w:ascii="Open Sans" w:hAnsi="Open Sans" w:cs="Open Sans"/>
          <w:iCs/>
          <w:sz w:val="20"/>
          <w:szCs w:val="20"/>
        </w:rPr>
        <w:t xml:space="preserve">dr. </w:t>
      </w:r>
      <w:proofErr w:type="spellStart"/>
      <w:r w:rsidR="00692A55" w:rsidRPr="00107FB7">
        <w:rPr>
          <w:rFonts w:ascii="Open Sans" w:hAnsi="Open Sans" w:cs="Open Sans"/>
          <w:iCs/>
          <w:sz w:val="20"/>
          <w:szCs w:val="20"/>
        </w:rPr>
        <w:t>Czabaj</w:t>
      </w:r>
      <w:proofErr w:type="spellEnd"/>
      <w:r w:rsidR="00692A55" w:rsidRPr="00107FB7">
        <w:rPr>
          <w:rFonts w:ascii="Open Sans" w:hAnsi="Open Sans" w:cs="Open Sans"/>
          <w:iCs/>
          <w:sz w:val="20"/>
          <w:szCs w:val="20"/>
        </w:rPr>
        <w:t xml:space="preserve"> Horváth Attila </w:t>
      </w:r>
    </w:p>
    <w:p w14:paraId="40CF932D" w14:textId="77777777" w:rsidR="00B35E77" w:rsidRPr="00B35E77" w:rsidRDefault="00B35E77" w:rsidP="00B35E77">
      <w:pPr>
        <w:pStyle w:val="Default"/>
        <w:rPr>
          <w:iCs/>
          <w:sz w:val="23"/>
          <w:szCs w:val="23"/>
        </w:rPr>
      </w:pPr>
    </w:p>
    <w:p w14:paraId="4003E2F8" w14:textId="77777777" w:rsidR="00176BCA" w:rsidRPr="00B35E77" w:rsidRDefault="00176BCA" w:rsidP="00B35E77">
      <w:pPr>
        <w:pStyle w:val="Default"/>
        <w:rPr>
          <w:iCs/>
          <w:sz w:val="23"/>
          <w:szCs w:val="23"/>
        </w:rPr>
      </w:pPr>
    </w:p>
    <w:p w14:paraId="5FE3D57D" w14:textId="77777777" w:rsidR="00A50E82" w:rsidRPr="00DE72CF" w:rsidRDefault="00A50E82" w:rsidP="00692A55">
      <w:pPr>
        <w:pStyle w:val="Default"/>
        <w:jc w:val="both"/>
        <w:rPr>
          <w:rFonts w:ascii="Open Sans" w:hAnsi="Open Sans" w:cs="Open Sans"/>
          <w:b/>
          <w:iCs/>
          <w:sz w:val="22"/>
          <w:szCs w:val="22"/>
        </w:rPr>
      </w:pPr>
      <w:r w:rsidRPr="00DE72CF">
        <w:rPr>
          <w:rFonts w:ascii="Open Sans" w:hAnsi="Open Sans" w:cs="Open Sans"/>
          <w:b/>
          <w:iCs/>
          <w:sz w:val="22"/>
          <w:szCs w:val="22"/>
        </w:rPr>
        <w:t>Absztrakt</w:t>
      </w:r>
    </w:p>
    <w:p w14:paraId="17874648" w14:textId="77777777" w:rsidR="00692A55" w:rsidRPr="00692A55" w:rsidRDefault="00692A55" w:rsidP="00692A55">
      <w:pPr>
        <w:pStyle w:val="Default"/>
        <w:jc w:val="both"/>
        <w:rPr>
          <w:b/>
          <w:iCs/>
          <w:sz w:val="22"/>
          <w:szCs w:val="22"/>
        </w:rPr>
      </w:pPr>
    </w:p>
    <w:p w14:paraId="27AFD64A" w14:textId="27CDC1B2" w:rsidR="00692A55" w:rsidRPr="00107FB7" w:rsidRDefault="00692A55" w:rsidP="00DE72CF">
      <w:pPr>
        <w:pStyle w:val="Default"/>
        <w:rPr>
          <w:rFonts w:ascii="Open Sans" w:hAnsi="Open Sans" w:cs="Open Sans"/>
          <w:iCs/>
          <w:sz w:val="20"/>
          <w:szCs w:val="20"/>
        </w:rPr>
      </w:pPr>
      <w:r w:rsidRPr="00107FB7">
        <w:rPr>
          <w:rFonts w:ascii="Open Sans" w:hAnsi="Open Sans" w:cs="Open Sans"/>
          <w:iCs/>
          <w:sz w:val="20"/>
          <w:szCs w:val="20"/>
        </w:rPr>
        <w:t xml:space="preserve">Kutatásunk célja az volt, hogy feltárjuk, hogyan vélekednek a pedagógusok (tanítók, tanárok és gyógypedagógusok) és a pedagógus hallgatók a saját szerepükről, lehetőségeikről az erkölcsi nevelés vonatkozásában. A mintanagyság a következőképpen alakult: 13 interjút, 1 fókuszcsoportos interjút, és 78 kérdőívet vettünk fel. A résztvevők kutatásba való bevonása kényelmi mintavétellel történt. Az interjúk tartalomelemzéséhez az </w:t>
      </w:r>
      <w:proofErr w:type="spellStart"/>
      <w:r w:rsidRPr="00107FB7">
        <w:rPr>
          <w:rFonts w:ascii="Open Sans" w:hAnsi="Open Sans" w:cs="Open Sans"/>
          <w:iCs/>
          <w:sz w:val="20"/>
          <w:szCs w:val="20"/>
        </w:rPr>
        <w:t>ATLAS.ti</w:t>
      </w:r>
      <w:proofErr w:type="spellEnd"/>
      <w:r w:rsidRPr="00107FB7">
        <w:rPr>
          <w:rFonts w:ascii="Open Sans" w:hAnsi="Open Sans" w:cs="Open Sans"/>
          <w:iCs/>
          <w:sz w:val="20"/>
          <w:szCs w:val="20"/>
        </w:rPr>
        <w:t xml:space="preserve"> programot, a kérdőívek feldolgozásához pedig SPSS-t használtunk. Az erkölcsös viselkedést nehéz volt definiálniuk, sokan vélekedtek úgy, hogy az helyzetfüggő. Az erkölcsi fejlődést befolyásoló tényezők közül magasan kiemelkedik a család, és erősen meghatározónak érezték a példakövetés, a tanulás és a nevelés szerepét is. Figyelemreméltó, hogy az erkölcstan/etika oktatásról jelentős részük úgy vélekedik, hogy az inkább nem befolyásolja az erkölcsi fejlődést. Az enyhe intellektuális képességzavarban érintett gyerekekkel kapcsolatban jelentős részük úgy vélekedik, hogy elérhetik ugyanazt a fejlődési szintet, mint egy tipikus fejlődésű gyerek, csak egy kicsit később. A hallgatók sokkal inkább érzik a pedagógusok, kiemelten az osztályfőnök felelősségét az erkölcsi nevelésben, mint a már pályán lévő pedagógusok. Kiemelték, hogy a már meglévő, otthonról hozott (esetleg nem megfelelőnek ítélt) mintákat az iskola nehezen, vagy egyáltalán nem tudja módosítani. Az erkölcsi érzék fejlődését támogató módszerek közül a leginkább alkalmasnak a szerepjátékot és a drámajátékot tartják, azonban a gyakorlatban ezeket ritkán alkalmazzák. Az etika tantárgy sikeres vagy kevésbé sikeres megvalósítása széles spektrumon mozog. A kérdőívet kitöltők közül 18 fő az, aki jelenleg vagy az elmúlt 5 évben tanított etikát. A 18 főből mindössze 6 rendelkezik ehhez kapcsolódó képzettséggel. Az interjúk során két olyan fogalmi hálót is építettünk, amelyre előzetesen nem számítottunk. Ezek a hálók A) nehézség, kihívás a munkában, és B) a munkát támogató faktorok köré csoportosultak. A kutatás </w:t>
      </w:r>
      <w:r w:rsidR="00107FB7" w:rsidRPr="00107FB7">
        <w:rPr>
          <w:rFonts w:ascii="Open Sans" w:hAnsi="Open Sans" w:cs="Open Sans"/>
          <w:iCs/>
          <w:sz w:val="20"/>
          <w:szCs w:val="20"/>
        </w:rPr>
        <w:t>korlátjai</w:t>
      </w:r>
      <w:r w:rsidRPr="00107FB7">
        <w:rPr>
          <w:rFonts w:ascii="Open Sans" w:hAnsi="Open Sans" w:cs="Open Sans"/>
          <w:iCs/>
          <w:sz w:val="20"/>
          <w:szCs w:val="20"/>
        </w:rPr>
        <w:t xml:space="preserve"> közé tartozik a nem reprezentatív mintavétel, és az egyes résztvevői célcsoportok kis mintanagysága. Az interjúba bevont pedagógusok szívügyüknek tekintik a témát, így fennáll az irreálisan pozitív kép veszélye. A tanári csoport heterogenitása nagyobb hangsúlyt érdemelt volna.</w:t>
      </w:r>
    </w:p>
    <w:p w14:paraId="7CE628DF" w14:textId="0F13C004" w:rsidR="00A17ADC" w:rsidRPr="00692A55" w:rsidRDefault="00A17ADC" w:rsidP="00692A55">
      <w:pPr>
        <w:pStyle w:val="Default"/>
        <w:jc w:val="both"/>
        <w:rPr>
          <w:sz w:val="22"/>
          <w:szCs w:val="22"/>
        </w:rPr>
      </w:pPr>
    </w:p>
    <w:sectPr w:rsidR="00A17ADC" w:rsidRPr="0069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01DE"/>
    <w:multiLevelType w:val="multilevel"/>
    <w:tmpl w:val="C58062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3988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4F"/>
    <w:rsid w:val="00107FB7"/>
    <w:rsid w:val="00176BCA"/>
    <w:rsid w:val="001A4E88"/>
    <w:rsid w:val="001C656E"/>
    <w:rsid w:val="001F2174"/>
    <w:rsid w:val="00240CFC"/>
    <w:rsid w:val="0045124F"/>
    <w:rsid w:val="005473A3"/>
    <w:rsid w:val="005503CD"/>
    <w:rsid w:val="005754E4"/>
    <w:rsid w:val="0058071A"/>
    <w:rsid w:val="0061208B"/>
    <w:rsid w:val="006279DE"/>
    <w:rsid w:val="00692A55"/>
    <w:rsid w:val="007C47F8"/>
    <w:rsid w:val="008B1ACE"/>
    <w:rsid w:val="009A43C0"/>
    <w:rsid w:val="00A17ADC"/>
    <w:rsid w:val="00A50E82"/>
    <w:rsid w:val="00B35E77"/>
    <w:rsid w:val="00B9038D"/>
    <w:rsid w:val="00C3737C"/>
    <w:rsid w:val="00CB6256"/>
    <w:rsid w:val="00CE4D28"/>
    <w:rsid w:val="00DE72CF"/>
    <w:rsid w:val="00E132A3"/>
    <w:rsid w:val="00E52D8D"/>
    <w:rsid w:val="00E80BDB"/>
    <w:rsid w:val="00EF79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18A2"/>
  <w15:chartTrackingRefBased/>
  <w15:docId w15:val="{10E4D744-8971-49CB-B171-09191CF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124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0E82"/>
    <w:rPr>
      <w:color w:val="0563C1" w:themeColor="hyperlink"/>
      <w:u w:val="single"/>
    </w:rPr>
  </w:style>
  <w:style w:type="character" w:styleId="Kiemels2">
    <w:name w:val="Strong"/>
    <w:basedOn w:val="Bekezdsalapbettpusa"/>
    <w:uiPriority w:val="22"/>
    <w:qFormat/>
    <w:rsid w:val="007C47F8"/>
    <w:rPr>
      <w:b/>
      <w:bCs/>
    </w:rPr>
  </w:style>
  <w:style w:type="paragraph" w:customStyle="1" w:styleId="paragraph">
    <w:name w:val="paragraph"/>
    <w:basedOn w:val="Norml"/>
    <w:rsid w:val="00580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58071A"/>
  </w:style>
  <w:style w:type="paragraph" w:customStyle="1" w:styleId="Default">
    <w:name w:val="Default"/>
    <w:rsid w:val="00E80B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1DAE-FF12-4884-8A2D-6C9D0AD4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4013</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Bebtó Magdolna</dc:creator>
  <cp:keywords/>
  <dc:description/>
  <cp:lastModifiedBy>Várnai Eszter</cp:lastModifiedBy>
  <cp:revision>2</cp:revision>
  <dcterms:created xsi:type="dcterms:W3CDTF">2023-06-01T14:11:00Z</dcterms:created>
  <dcterms:modified xsi:type="dcterms:W3CDTF">2023-06-01T14:11:00Z</dcterms:modified>
</cp:coreProperties>
</file>